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0"/>
        <w:jc w:val="center"/>
        <w:rPr>
          <w:b w:val="1"/>
        </w:rPr>
      </w:pPr>
      <w:r w:rsidDel="00000000" w:rsidR="00000000" w:rsidRPr="00000000">
        <w:rPr>
          <w:b w:val="1"/>
          <w:rtl w:val="0"/>
        </w:rPr>
        <w:t xml:space="preserve">Walnut Creek Intermediate</w:t>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114300</wp:posOffset>
            </wp:positionV>
            <wp:extent cx="2062163" cy="146226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2163" cy="1462261"/>
                    </a:xfrm>
                    <a:prstGeom prst="rect"/>
                    <a:ln/>
                  </pic:spPr>
                </pic:pic>
              </a:graphicData>
            </a:graphic>
          </wp:anchor>
        </w:drawing>
      </w:r>
    </w:p>
    <w:p w:rsidR="00000000" w:rsidDel="00000000" w:rsidP="00000000" w:rsidRDefault="00000000" w:rsidRPr="00000000" w14:paraId="00000002">
      <w:pPr>
        <w:ind w:left="2880" w:firstLine="0"/>
        <w:jc w:val="center"/>
        <w:rPr>
          <w:b w:val="1"/>
        </w:rPr>
      </w:pPr>
      <w:r w:rsidDel="00000000" w:rsidR="00000000" w:rsidRPr="00000000">
        <w:rPr>
          <w:b w:val="1"/>
          <w:rtl w:val="0"/>
        </w:rPr>
        <w:t xml:space="preserve">Core 7 Syllabus</w:t>
      </w:r>
    </w:p>
    <w:p w:rsidR="00000000" w:rsidDel="00000000" w:rsidP="00000000" w:rsidRDefault="00000000" w:rsidRPr="00000000" w14:paraId="00000003">
      <w:pPr>
        <w:ind w:left="2880" w:firstLine="0"/>
        <w:jc w:val="center"/>
        <w:rPr>
          <w:b w:val="1"/>
        </w:rPr>
      </w:pPr>
      <w:r w:rsidDel="00000000" w:rsidR="00000000" w:rsidRPr="00000000">
        <w:rPr>
          <w:b w:val="1"/>
          <w:rtl w:val="0"/>
        </w:rPr>
        <w:t xml:space="preserve">2019/2020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Miss Palmquist</w:t>
      </w:r>
    </w:p>
    <w:p w:rsidR="00000000" w:rsidDel="00000000" w:rsidP="00000000" w:rsidRDefault="00000000" w:rsidRPr="00000000" w14:paraId="00000006">
      <w:pPr>
        <w:rPr/>
      </w:pPr>
      <w:r w:rsidDel="00000000" w:rsidR="00000000" w:rsidRPr="00000000">
        <w:rPr>
          <w:rtl w:val="0"/>
        </w:rPr>
        <w:t xml:space="preserve">Prep Period: 7th</w:t>
      </w:r>
    </w:p>
    <w:p w:rsidR="00000000" w:rsidDel="00000000" w:rsidP="00000000" w:rsidRDefault="00000000" w:rsidRPr="00000000" w14:paraId="00000007">
      <w:pPr>
        <w:rPr/>
      </w:pPr>
      <w:r w:rsidDel="00000000" w:rsidR="00000000" w:rsidRPr="00000000">
        <w:rPr>
          <w:rtl w:val="0"/>
        </w:rPr>
        <w:t xml:space="preserve">Email: </w:t>
      </w:r>
      <w:hyperlink r:id="rId7">
        <w:r w:rsidDel="00000000" w:rsidR="00000000" w:rsidRPr="00000000">
          <w:rPr>
            <w:color w:val="1155cc"/>
            <w:u w:val="single"/>
            <w:rtl w:val="0"/>
          </w:rPr>
          <w:t xml:space="preserve">jpalmquist@walnutcreeksd.org</w:t>
        </w:r>
      </w:hyperlink>
      <w:r w:rsidDel="00000000" w:rsidR="00000000" w:rsidRPr="00000000">
        <w:rPr>
          <w:rtl w:val="0"/>
        </w:rPr>
        <w:tab/>
        <w:tab/>
        <w:tab/>
        <w:tab/>
        <w:t xml:space="preserve">Telephone #:  925-944-6840, ext.: 8210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Weekly Agenda for Homework &amp; Due Dates:</w:t>
      </w:r>
      <w:r w:rsidDel="00000000" w:rsidR="00000000" w:rsidRPr="00000000">
        <w:rPr>
          <w:rtl w:val="0"/>
        </w:rPr>
        <w:t xml:space="preserve">  Currently, you can access my agenda from the WCI  Website, or your child can access my agendas in the “Weekly Agendas &amp; General Information” Google Classroom (print using “portrait”).  In the near future, in lieu of the WCI website,  I will be sending it out using “Blackboard.” I will also use blackboard to communicate important information (updates, reminders, etc…).  I will continue posting it in the “Weekly Agendas…” Google Classroom.</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Reading, Writing, and Social Studies Unit Calendar:</w:t>
      </w:r>
    </w:p>
    <w:tbl>
      <w:tblPr>
        <w:tblStyle w:val="Table1"/>
        <w:tblW w:w="1041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5"/>
        <w:gridCol w:w="2610"/>
        <w:gridCol w:w="2565"/>
        <w:gridCol w:w="3300"/>
        <w:tblGridChange w:id="0">
          <w:tblGrid>
            <w:gridCol w:w="1935"/>
            <w:gridCol w:w="2610"/>
            <w:gridCol w:w="2565"/>
            <w:gridCol w:w="330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jc w:val="center"/>
              <w:rPr>
                <w:b w:val="1"/>
                <w:sz w:val="20"/>
                <w:szCs w:val="20"/>
              </w:rPr>
            </w:pPr>
            <w:r w:rsidDel="00000000" w:rsidR="00000000" w:rsidRPr="00000000">
              <w:rPr>
                <w:b w:val="1"/>
                <w:sz w:val="20"/>
                <w:szCs w:val="20"/>
                <w:rtl w:val="0"/>
              </w:rPr>
              <w:t xml:space="preserve">7th Grade Reading Workshop (RW) &amp; Writing Workshop (WW) Progression </w:t>
            </w:r>
          </w:p>
        </w:tc>
        <w:tc>
          <w:tcPr>
            <w:tcBorders>
              <w:bottom w:color="000000" w:space="0" w:sz="6"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b w:val="1"/>
                <w:sz w:val="20"/>
                <w:szCs w:val="20"/>
              </w:rPr>
            </w:pPr>
            <w:r w:rsidDel="00000000" w:rsidR="00000000" w:rsidRPr="00000000">
              <w:rPr>
                <w:b w:val="1"/>
                <w:sz w:val="20"/>
                <w:szCs w:val="20"/>
                <w:rtl w:val="0"/>
              </w:rPr>
              <w:t xml:space="preserve">Social Studies (Medieval &amp; Early Modern Times) Progression</w:t>
            </w:r>
          </w:p>
        </w:tc>
      </w:tr>
      <w:tr>
        <w:trPr>
          <w:trHeight w:val="460" w:hRule="atLeast"/>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0">
            <w:pPr>
              <w:widowControl w:val="0"/>
              <w:rPr>
                <w:b w:val="1"/>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1">
            <w:pPr>
              <w:widowControl w:val="0"/>
              <w:rPr>
                <w:b w:val="1"/>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2">
            <w:pPr>
              <w:widowControl w:val="0"/>
              <w:rPr>
                <w:b w:val="1"/>
                <w:sz w:val="20"/>
                <w:szCs w:val="20"/>
              </w:rPr>
            </w:pPr>
            <w:r w:rsidDel="00000000" w:rsidR="00000000" w:rsidRPr="00000000">
              <w:rPr>
                <w:b w:val="1"/>
                <w:sz w:val="20"/>
                <w:szCs w:val="20"/>
                <w:rtl w:val="0"/>
              </w:rPr>
              <w:t xml:space="preserve">RW or WW</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13">
            <w:pPr>
              <w:widowControl w:val="0"/>
              <w:rPr>
                <w:b w:val="1"/>
                <w:sz w:val="20"/>
                <w:szCs w:val="20"/>
              </w:rPr>
            </w:pPr>
            <w:r w:rsidDel="00000000" w:rsidR="00000000" w:rsidRPr="00000000">
              <w:rPr>
                <w:rtl w:val="0"/>
              </w:rPr>
            </w:r>
          </w:p>
        </w:tc>
      </w:tr>
      <w:tr>
        <w:trPr>
          <w:trHeight w:val="800" w:hRule="atLeast"/>
        </w:trPr>
        <w:tc>
          <w:tcPr>
            <w:tcBorders>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4">
            <w:pPr>
              <w:widowControl w:val="0"/>
              <w:rPr>
                <w:b w:val="1"/>
                <w:color w:val="0000ff"/>
                <w:sz w:val="24"/>
                <w:szCs w:val="24"/>
              </w:rPr>
            </w:pPr>
            <w:r w:rsidDel="00000000" w:rsidR="00000000" w:rsidRPr="00000000">
              <w:rPr>
                <w:b w:val="1"/>
                <w:color w:val="0000ff"/>
                <w:sz w:val="24"/>
                <w:szCs w:val="24"/>
                <w:rtl w:val="0"/>
              </w:rPr>
              <w:t xml:space="preserve">August</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5">
            <w:pPr>
              <w:widowControl w:val="0"/>
              <w:rPr>
                <w:b w:val="1"/>
                <w:sz w:val="20"/>
                <w:szCs w:val="20"/>
              </w:rPr>
            </w:pPr>
            <w:r w:rsidDel="00000000" w:rsidR="00000000" w:rsidRPr="00000000">
              <w:rPr>
                <w:b w:val="1"/>
                <w:sz w:val="20"/>
                <w:szCs w:val="20"/>
                <w:rtl w:val="0"/>
              </w:rPr>
              <w:t xml:space="preserve">Launch - Information Unit (Companion Books)</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6">
            <w:pPr>
              <w:widowControl w:val="0"/>
              <w:rPr>
                <w:b w:val="1"/>
                <w:sz w:val="20"/>
                <w:szCs w:val="20"/>
                <w:u w:val="single"/>
              </w:rPr>
            </w:pPr>
            <w:r w:rsidDel="00000000" w:rsidR="00000000" w:rsidRPr="00000000">
              <w:rPr>
                <w:b w:val="1"/>
                <w:sz w:val="20"/>
                <w:szCs w:val="20"/>
                <w:rtl w:val="0"/>
              </w:rPr>
              <w:t xml:space="preserve">Reading &amp; </w:t>
            </w:r>
            <w:r w:rsidDel="00000000" w:rsidR="00000000" w:rsidRPr="00000000">
              <w:rPr>
                <w:b w:val="1"/>
                <w:sz w:val="20"/>
                <w:szCs w:val="20"/>
                <w:u w:val="single"/>
                <w:rtl w:val="0"/>
              </w:rPr>
              <w:t xml:space="preserve">Writing</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17">
            <w:pPr>
              <w:widowControl w:val="0"/>
              <w:rPr>
                <w:b w:val="1"/>
                <w:sz w:val="20"/>
                <w:szCs w:val="20"/>
              </w:rPr>
            </w:pPr>
            <w:r w:rsidDel="00000000" w:rsidR="00000000" w:rsidRPr="00000000">
              <w:rPr>
                <w:b w:val="1"/>
                <w:sz w:val="20"/>
                <w:szCs w:val="20"/>
                <w:rtl w:val="0"/>
              </w:rPr>
              <w:t xml:space="preserve">AncientRome &amp; Byzantine Empires</w:t>
            </w:r>
          </w:p>
        </w:tc>
      </w:tr>
      <w:tr>
        <w:trPr>
          <w:trHeight w:val="420" w:hRule="atLeast"/>
        </w:trPr>
        <w:tc>
          <w:tcPr>
            <w:tcBorders>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8">
            <w:pPr>
              <w:widowControl w:val="0"/>
              <w:rPr>
                <w:b w:val="1"/>
                <w:color w:val="0000ff"/>
                <w:sz w:val="24"/>
                <w:szCs w:val="24"/>
              </w:rPr>
            </w:pPr>
            <w:r w:rsidDel="00000000" w:rsidR="00000000" w:rsidRPr="00000000">
              <w:rPr>
                <w:b w:val="1"/>
                <w:color w:val="0000ff"/>
                <w:sz w:val="24"/>
                <w:szCs w:val="24"/>
                <w:rtl w:val="0"/>
              </w:rPr>
              <w:t xml:space="preserve">September</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Continued</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A">
            <w:pPr>
              <w:widowControl w:val="0"/>
              <w:rPr>
                <w:b w:val="1"/>
                <w:sz w:val="20"/>
                <w:szCs w:val="20"/>
              </w:rPr>
            </w:pPr>
            <w:r w:rsidDel="00000000" w:rsidR="00000000" w:rsidRPr="00000000">
              <w:rPr>
                <w:rtl w:val="0"/>
              </w:rPr>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1B">
            <w:pPr>
              <w:widowControl w:val="0"/>
              <w:rPr>
                <w:b w:val="1"/>
                <w:sz w:val="20"/>
                <w:szCs w:val="20"/>
              </w:rPr>
            </w:pPr>
            <w:r w:rsidDel="00000000" w:rsidR="00000000" w:rsidRPr="00000000">
              <w:rPr>
                <w:b w:val="1"/>
                <w:sz w:val="20"/>
                <w:szCs w:val="20"/>
                <w:rtl w:val="0"/>
              </w:rPr>
              <w:t xml:space="preserve">Continued</w:t>
            </w:r>
          </w:p>
        </w:tc>
      </w:tr>
      <w:tr>
        <w:trPr>
          <w:trHeight w:val="1060" w:hRule="atLeast"/>
        </w:trPr>
        <w:tc>
          <w:tcPr>
            <w:tcBorders>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C">
            <w:pPr>
              <w:widowControl w:val="0"/>
              <w:rPr>
                <w:b w:val="1"/>
                <w:color w:val="0000ff"/>
                <w:sz w:val="24"/>
                <w:szCs w:val="24"/>
              </w:rPr>
            </w:pPr>
            <w:r w:rsidDel="00000000" w:rsidR="00000000" w:rsidRPr="00000000">
              <w:rPr>
                <w:b w:val="1"/>
                <w:color w:val="0000ff"/>
                <w:sz w:val="24"/>
                <w:szCs w:val="24"/>
                <w:rtl w:val="0"/>
              </w:rPr>
              <w:t xml:space="preserve">October</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D">
            <w:pPr>
              <w:widowControl w:val="0"/>
              <w:rPr>
                <w:b w:val="1"/>
                <w:sz w:val="20"/>
                <w:szCs w:val="20"/>
              </w:rPr>
            </w:pPr>
            <w:r w:rsidDel="00000000" w:rsidR="00000000" w:rsidRPr="00000000">
              <w:rPr>
                <w:b w:val="1"/>
                <w:sz w:val="20"/>
                <w:szCs w:val="20"/>
                <w:rtl w:val="0"/>
              </w:rPr>
              <w:t xml:space="preserve">Tapping the Power of Non-Fiction</w:t>
            </w:r>
          </w:p>
        </w:tc>
        <w:tc>
          <w:tcPr>
            <w:tcBorders>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E">
            <w:pPr>
              <w:widowControl w:val="0"/>
              <w:rPr>
                <w:b w:val="1"/>
                <w:sz w:val="20"/>
                <w:szCs w:val="20"/>
              </w:rPr>
            </w:pPr>
            <w:r w:rsidDel="00000000" w:rsidR="00000000" w:rsidRPr="00000000">
              <w:rPr>
                <w:b w:val="1"/>
                <w:sz w:val="20"/>
                <w:szCs w:val="20"/>
                <w:u w:val="single"/>
                <w:rtl w:val="0"/>
              </w:rPr>
              <w:t xml:space="preserve">Reading</w:t>
            </w:r>
            <w:r w:rsidDel="00000000" w:rsidR="00000000" w:rsidRPr="00000000">
              <w:rPr>
                <w:b w:val="1"/>
                <w:sz w:val="20"/>
                <w:szCs w:val="20"/>
                <w:rtl w:val="0"/>
              </w:rPr>
              <w:t xml:space="preserve"> &amp; Writing</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Islamic Empire</w:t>
            </w:r>
          </w:p>
        </w:tc>
      </w:tr>
      <w:tr>
        <w:trPr>
          <w:trHeight w:val="1140" w:hRule="atLeast"/>
        </w:trPr>
        <w:tc>
          <w:tcPr>
            <w:tcBorders>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0">
            <w:pPr>
              <w:widowControl w:val="0"/>
              <w:rPr>
                <w:b w:val="1"/>
                <w:color w:val="0000ff"/>
                <w:sz w:val="24"/>
                <w:szCs w:val="24"/>
              </w:rPr>
            </w:pPr>
            <w:r w:rsidDel="00000000" w:rsidR="00000000" w:rsidRPr="00000000">
              <w:rPr>
                <w:b w:val="1"/>
                <w:color w:val="0000ff"/>
                <w:sz w:val="24"/>
                <w:szCs w:val="24"/>
                <w:rtl w:val="0"/>
              </w:rPr>
              <w:t xml:space="preserve">November</w:t>
            </w:r>
          </w:p>
        </w:tc>
        <w:tc>
          <w:tcPr>
            <w:tcBorders>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1">
            <w:pPr>
              <w:widowControl w:val="0"/>
              <w:rPr>
                <w:b w:val="1"/>
                <w:sz w:val="20"/>
                <w:szCs w:val="20"/>
              </w:rPr>
            </w:pPr>
            <w:r w:rsidDel="00000000" w:rsidR="00000000" w:rsidRPr="00000000">
              <w:rPr>
                <w:b w:val="1"/>
                <w:sz w:val="20"/>
                <w:szCs w:val="20"/>
                <w:rtl w:val="0"/>
              </w:rPr>
              <w:t xml:space="preserve">The Art of Argument</w:t>
            </w:r>
          </w:p>
        </w:tc>
        <w:tc>
          <w:tcPr>
            <w:tcBorders>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2">
            <w:pPr>
              <w:widowControl w:val="0"/>
              <w:rPr>
                <w:b w:val="1"/>
                <w:sz w:val="20"/>
                <w:szCs w:val="20"/>
                <w:u w:val="single"/>
              </w:rPr>
            </w:pPr>
            <w:r w:rsidDel="00000000" w:rsidR="00000000" w:rsidRPr="00000000">
              <w:rPr>
                <w:b w:val="1"/>
                <w:sz w:val="20"/>
                <w:szCs w:val="20"/>
                <w:rtl w:val="0"/>
              </w:rPr>
              <w:t xml:space="preserve">Reading &amp; </w:t>
            </w:r>
            <w:r w:rsidDel="00000000" w:rsidR="00000000" w:rsidRPr="00000000">
              <w:rPr>
                <w:b w:val="1"/>
                <w:sz w:val="20"/>
                <w:szCs w:val="20"/>
                <w:u w:val="single"/>
                <w:rtl w:val="0"/>
              </w:rPr>
              <w:t xml:space="preserve">Writing</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W. African Empires</w:t>
            </w:r>
          </w:p>
        </w:tc>
      </w:tr>
      <w:tr>
        <w:trPr>
          <w:trHeight w:val="400" w:hRule="atLeast"/>
        </w:trPr>
        <w:tc>
          <w:tcPr>
            <w:tcBorders>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4">
            <w:pPr>
              <w:widowControl w:val="0"/>
              <w:rPr>
                <w:b w:val="1"/>
                <w:color w:val="0000ff"/>
                <w:sz w:val="24"/>
                <w:szCs w:val="24"/>
              </w:rPr>
            </w:pPr>
            <w:r w:rsidDel="00000000" w:rsidR="00000000" w:rsidRPr="00000000">
              <w:rPr>
                <w:b w:val="1"/>
                <w:color w:val="0000ff"/>
                <w:sz w:val="24"/>
                <w:szCs w:val="24"/>
                <w:rtl w:val="0"/>
              </w:rPr>
              <w:t xml:space="preserve">December</w:t>
            </w:r>
          </w:p>
        </w:tc>
        <w:tc>
          <w:tcPr>
            <w:tcBorders>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Continued</w:t>
            </w:r>
          </w:p>
        </w:tc>
        <w:tc>
          <w:tcPr>
            <w:tcBorders>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6">
            <w:pPr>
              <w:widowControl w:val="0"/>
              <w:rPr>
                <w:b w:val="1"/>
                <w:sz w:val="20"/>
                <w:szCs w:val="20"/>
              </w:rPr>
            </w:pPr>
            <w:r w:rsidDel="00000000" w:rsidR="00000000" w:rsidRPr="00000000">
              <w:rPr>
                <w:rtl w:val="0"/>
              </w:rPr>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Continued</w:t>
            </w:r>
          </w:p>
        </w:tc>
      </w:tr>
      <w:tr>
        <w:trPr>
          <w:trHeight w:val="1180" w:hRule="atLeast"/>
        </w:trPr>
        <w:tc>
          <w:tcPr>
            <w:tcBorders>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8">
            <w:pPr>
              <w:widowControl w:val="0"/>
              <w:rPr>
                <w:b w:val="1"/>
                <w:color w:val="0000ff"/>
                <w:sz w:val="24"/>
                <w:szCs w:val="24"/>
              </w:rPr>
            </w:pPr>
            <w:r w:rsidDel="00000000" w:rsidR="00000000" w:rsidRPr="00000000">
              <w:rPr>
                <w:b w:val="1"/>
                <w:color w:val="0000ff"/>
                <w:sz w:val="24"/>
                <w:szCs w:val="24"/>
                <w:rtl w:val="0"/>
              </w:rPr>
              <w:t xml:space="preserve">January</w:t>
            </w:r>
          </w:p>
        </w:tc>
        <w:tc>
          <w:tcPr>
            <w:tcBorders>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9">
            <w:pPr>
              <w:widowControl w:val="0"/>
              <w:rPr>
                <w:b w:val="1"/>
                <w:sz w:val="20"/>
                <w:szCs w:val="20"/>
              </w:rPr>
            </w:pPr>
            <w:r w:rsidDel="00000000" w:rsidR="00000000" w:rsidRPr="00000000">
              <w:rPr>
                <w:b w:val="1"/>
                <w:sz w:val="20"/>
                <w:szCs w:val="20"/>
                <w:rtl w:val="0"/>
              </w:rPr>
              <w:t xml:space="preserve">Investigating Characterization</w:t>
            </w:r>
          </w:p>
        </w:tc>
        <w:tc>
          <w:tcPr>
            <w:tcBorders>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A">
            <w:pPr>
              <w:widowControl w:val="0"/>
              <w:rPr>
                <w:b w:val="1"/>
                <w:sz w:val="20"/>
                <w:szCs w:val="20"/>
              </w:rPr>
            </w:pPr>
            <w:r w:rsidDel="00000000" w:rsidR="00000000" w:rsidRPr="00000000">
              <w:rPr>
                <w:b w:val="1"/>
                <w:sz w:val="20"/>
                <w:szCs w:val="20"/>
                <w:u w:val="single"/>
                <w:rtl w:val="0"/>
              </w:rPr>
              <w:t xml:space="preserve">Reading</w:t>
            </w:r>
            <w:r w:rsidDel="00000000" w:rsidR="00000000" w:rsidRPr="00000000">
              <w:rPr>
                <w:b w:val="1"/>
                <w:sz w:val="20"/>
                <w:szCs w:val="20"/>
                <w:rtl w:val="0"/>
              </w:rPr>
              <w:t xml:space="preserve"> &amp; Writing</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2B">
            <w:pPr>
              <w:widowControl w:val="0"/>
              <w:rPr>
                <w:b w:val="1"/>
                <w:sz w:val="20"/>
                <w:szCs w:val="20"/>
              </w:rPr>
            </w:pPr>
            <w:r w:rsidDel="00000000" w:rsidR="00000000" w:rsidRPr="00000000">
              <w:rPr>
                <w:b w:val="1"/>
                <w:sz w:val="20"/>
                <w:szCs w:val="20"/>
                <w:rtl w:val="0"/>
              </w:rPr>
              <w:t xml:space="preserve">Imperial China</w:t>
            </w:r>
          </w:p>
        </w:tc>
      </w:tr>
      <w:tr>
        <w:trPr>
          <w:trHeight w:val="400" w:hRule="atLeast"/>
        </w:trPr>
        <w:tc>
          <w:tcPr>
            <w:tcBorders>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C">
            <w:pPr>
              <w:widowControl w:val="0"/>
              <w:rPr>
                <w:b w:val="1"/>
                <w:color w:val="0000ff"/>
                <w:sz w:val="24"/>
                <w:szCs w:val="24"/>
              </w:rPr>
            </w:pPr>
            <w:r w:rsidDel="00000000" w:rsidR="00000000" w:rsidRPr="00000000">
              <w:rPr>
                <w:b w:val="1"/>
                <w:color w:val="0000ff"/>
                <w:sz w:val="24"/>
                <w:szCs w:val="24"/>
                <w:rtl w:val="0"/>
              </w:rPr>
              <w:t xml:space="preserve">February</w:t>
            </w:r>
          </w:p>
        </w:tc>
        <w:tc>
          <w:tcPr>
            <w:tcBorders>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D">
            <w:pPr>
              <w:widowControl w:val="0"/>
              <w:rPr>
                <w:b w:val="1"/>
                <w:sz w:val="20"/>
                <w:szCs w:val="20"/>
              </w:rPr>
            </w:pPr>
            <w:r w:rsidDel="00000000" w:rsidR="00000000" w:rsidRPr="00000000">
              <w:rPr>
                <w:b w:val="1"/>
                <w:sz w:val="20"/>
                <w:szCs w:val="20"/>
                <w:rtl w:val="0"/>
              </w:rPr>
              <w:t xml:space="preserve">Continued</w:t>
            </w:r>
          </w:p>
        </w:tc>
        <w:tc>
          <w:tcPr>
            <w:tcBorders>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E">
            <w:pPr>
              <w:widowControl w:val="0"/>
              <w:rPr>
                <w:b w:val="1"/>
                <w:sz w:val="20"/>
                <w:szCs w:val="20"/>
              </w:rPr>
            </w:pPr>
            <w:r w:rsidDel="00000000" w:rsidR="00000000" w:rsidRPr="00000000">
              <w:rPr>
                <w:rtl w:val="0"/>
              </w:rPr>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Ancient Japan</w:t>
            </w:r>
          </w:p>
        </w:tc>
      </w:tr>
      <w:tr>
        <w:trPr>
          <w:trHeight w:val="640" w:hRule="atLeast"/>
        </w:trPr>
        <w:tc>
          <w:tcPr>
            <w:tcBorders>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0">
            <w:pPr>
              <w:widowControl w:val="0"/>
              <w:rPr>
                <w:b w:val="1"/>
                <w:color w:val="0000ff"/>
                <w:sz w:val="24"/>
                <w:szCs w:val="24"/>
              </w:rPr>
            </w:pPr>
            <w:r w:rsidDel="00000000" w:rsidR="00000000" w:rsidRPr="00000000">
              <w:rPr>
                <w:b w:val="1"/>
                <w:color w:val="0000ff"/>
                <w:sz w:val="24"/>
                <w:szCs w:val="24"/>
                <w:rtl w:val="0"/>
              </w:rPr>
              <w:t xml:space="preserve">March</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1">
            <w:pPr>
              <w:widowControl w:val="0"/>
              <w:rPr>
                <w:b w:val="1"/>
                <w:sz w:val="20"/>
                <w:szCs w:val="20"/>
              </w:rPr>
            </w:pPr>
            <w:r w:rsidDel="00000000" w:rsidR="00000000" w:rsidRPr="00000000">
              <w:rPr>
                <w:b w:val="1"/>
                <w:sz w:val="20"/>
                <w:szCs w:val="20"/>
                <w:rtl w:val="0"/>
              </w:rPr>
              <w:t xml:space="preserve">Realistic Fiction</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2">
            <w:pPr>
              <w:widowControl w:val="0"/>
              <w:rPr>
                <w:b w:val="1"/>
                <w:sz w:val="20"/>
                <w:szCs w:val="20"/>
                <w:u w:val="single"/>
              </w:rPr>
            </w:pPr>
            <w:r w:rsidDel="00000000" w:rsidR="00000000" w:rsidRPr="00000000">
              <w:rPr>
                <w:b w:val="1"/>
                <w:sz w:val="20"/>
                <w:szCs w:val="20"/>
                <w:u w:val="single"/>
                <w:rtl w:val="0"/>
              </w:rPr>
              <w:t xml:space="preserve">Writing</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3">
            <w:pPr>
              <w:widowControl w:val="0"/>
              <w:ind w:left="0" w:firstLine="0"/>
              <w:rPr>
                <w:b w:val="1"/>
                <w:sz w:val="20"/>
                <w:szCs w:val="20"/>
              </w:rPr>
            </w:pPr>
            <w:r w:rsidDel="00000000" w:rsidR="00000000" w:rsidRPr="00000000">
              <w:rPr>
                <w:b w:val="1"/>
                <w:sz w:val="20"/>
                <w:szCs w:val="20"/>
                <w:rtl w:val="0"/>
              </w:rPr>
              <w:t xml:space="preserve">-Ancient Maya, Aztec, &amp; Inca</w:t>
            </w:r>
          </w:p>
          <w:p w:rsidR="00000000" w:rsidDel="00000000" w:rsidP="00000000" w:rsidRDefault="00000000" w:rsidRPr="00000000" w14:paraId="00000034">
            <w:pPr>
              <w:widowControl w:val="0"/>
              <w:rPr>
                <w:b w:val="1"/>
                <w:sz w:val="20"/>
                <w:szCs w:val="20"/>
              </w:rPr>
            </w:pPr>
            <w:r w:rsidDel="00000000" w:rsidR="00000000" w:rsidRPr="00000000">
              <w:rPr>
                <w:b w:val="1"/>
                <w:sz w:val="20"/>
                <w:szCs w:val="20"/>
                <w:rtl w:val="0"/>
              </w:rPr>
              <w:t xml:space="preserve">-Renaissance &amp; Reformation</w:t>
            </w:r>
          </w:p>
        </w:tc>
      </w:tr>
      <w:tr>
        <w:trPr>
          <w:trHeight w:val="400" w:hRule="atLeast"/>
        </w:trPr>
        <w:tc>
          <w:tcPr>
            <w:tcBorders>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5">
            <w:pPr>
              <w:widowControl w:val="0"/>
              <w:rPr>
                <w:b w:val="1"/>
                <w:color w:val="0000ff"/>
                <w:sz w:val="24"/>
                <w:szCs w:val="24"/>
              </w:rPr>
            </w:pPr>
            <w:r w:rsidDel="00000000" w:rsidR="00000000" w:rsidRPr="00000000">
              <w:rPr>
                <w:b w:val="1"/>
                <w:color w:val="0000ff"/>
                <w:sz w:val="24"/>
                <w:szCs w:val="24"/>
                <w:rtl w:val="0"/>
              </w:rPr>
              <w:t xml:space="preserve">April</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6">
            <w:pPr>
              <w:widowControl w:val="0"/>
              <w:rPr>
                <w:b w:val="1"/>
                <w:sz w:val="20"/>
                <w:szCs w:val="20"/>
              </w:rPr>
            </w:pPr>
            <w:r w:rsidDel="00000000" w:rsidR="00000000" w:rsidRPr="00000000">
              <w:rPr>
                <w:b w:val="1"/>
                <w:sz w:val="20"/>
                <w:szCs w:val="20"/>
                <w:rtl w:val="0"/>
              </w:rPr>
              <w:t xml:space="preserve">- Test Prep (end of April)</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RW &amp; WW</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8">
            <w:pPr>
              <w:widowControl w:val="0"/>
              <w:rPr>
                <w:b w:val="1"/>
                <w:sz w:val="20"/>
                <w:szCs w:val="20"/>
              </w:rPr>
            </w:pPr>
            <w:r w:rsidDel="00000000" w:rsidR="00000000" w:rsidRPr="00000000">
              <w:rPr>
                <w:b w:val="1"/>
                <w:sz w:val="20"/>
                <w:szCs w:val="20"/>
                <w:rtl w:val="0"/>
              </w:rPr>
              <w:t xml:space="preserve">Continued</w:t>
            </w:r>
          </w:p>
        </w:tc>
      </w:tr>
      <w:tr>
        <w:trPr>
          <w:trHeight w:val="400" w:hRule="atLeast"/>
        </w:trPr>
        <w:tc>
          <w:tcPr>
            <w:tcBorders>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9">
            <w:pPr>
              <w:widowControl w:val="0"/>
              <w:rPr>
                <w:b w:val="1"/>
                <w:color w:val="0000ff"/>
                <w:sz w:val="24"/>
                <w:szCs w:val="24"/>
              </w:rPr>
            </w:pPr>
            <w:r w:rsidDel="00000000" w:rsidR="00000000" w:rsidRPr="00000000">
              <w:rPr>
                <w:b w:val="1"/>
                <w:color w:val="0000ff"/>
                <w:sz w:val="24"/>
                <w:szCs w:val="24"/>
                <w:rtl w:val="0"/>
              </w:rPr>
              <w:t xml:space="preserve">May</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A">
            <w:pPr>
              <w:widowControl w:val="0"/>
              <w:rPr>
                <w:b w:val="1"/>
                <w:sz w:val="20"/>
                <w:szCs w:val="20"/>
              </w:rPr>
            </w:pPr>
            <w:r w:rsidDel="00000000" w:rsidR="00000000" w:rsidRPr="00000000">
              <w:rPr>
                <w:b w:val="1"/>
                <w:sz w:val="20"/>
                <w:szCs w:val="20"/>
                <w:rtl w:val="0"/>
              </w:rPr>
              <w:t xml:space="preserve">RF Cont'd </w:t>
            </w:r>
          </w:p>
          <w:p w:rsidR="00000000" w:rsidDel="00000000" w:rsidP="00000000" w:rsidRDefault="00000000" w:rsidRPr="00000000" w14:paraId="0000003B">
            <w:pPr>
              <w:widowControl w:val="0"/>
              <w:rPr>
                <w:b w:val="1"/>
                <w:sz w:val="20"/>
                <w:szCs w:val="20"/>
              </w:rPr>
            </w:pPr>
            <w:r w:rsidDel="00000000" w:rsidR="00000000" w:rsidRPr="00000000">
              <w:rPr>
                <w:b w:val="1"/>
                <w:sz w:val="20"/>
                <w:szCs w:val="20"/>
                <w:rtl w:val="0"/>
              </w:rPr>
              <w:t xml:space="preserve">-Science Fiction Unit</w:t>
            </w:r>
          </w:p>
        </w:tc>
        <w:tc>
          <w:tcPr>
            <w:tcBorders>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3C">
            <w:pPr>
              <w:widowControl w:val="0"/>
              <w:rPr>
                <w:b w:val="1"/>
                <w:sz w:val="20"/>
                <w:szCs w:val="20"/>
              </w:rPr>
            </w:pPr>
            <w:r w:rsidDel="00000000" w:rsidR="00000000" w:rsidRPr="00000000">
              <w:rPr>
                <w:b w:val="1"/>
                <w:sz w:val="20"/>
                <w:szCs w:val="20"/>
                <w:rtl w:val="0"/>
              </w:rPr>
              <w:t xml:space="preserve">RW</w:t>
            </w:r>
          </w:p>
        </w:tc>
        <w:tc>
          <w:tcPr>
            <w:tcBorders>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Modern Age</w:t>
            </w:r>
          </w:p>
        </w:tc>
      </w:tr>
    </w:tbl>
    <w:p w:rsidR="00000000" w:rsidDel="00000000" w:rsidP="00000000" w:rsidRDefault="00000000" w:rsidRPr="00000000" w14:paraId="0000003E">
      <w:pPr>
        <w:rPr>
          <w:b w:val="1"/>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b w:val="1"/>
          <w:u w:val="single"/>
          <w:rtl w:val="0"/>
        </w:rPr>
        <w:t xml:space="preserve">Textbooks:</w:t>
      </w:r>
      <w:r w:rsidDel="00000000" w:rsidR="00000000" w:rsidRPr="00000000">
        <w:rPr>
          <w:b w:val="1"/>
          <w:rtl w:val="0"/>
        </w:rPr>
        <w:t xml:space="preserve">  </w:t>
      </w:r>
      <w:r w:rsidDel="00000000" w:rsidR="00000000" w:rsidRPr="00000000">
        <w:rPr>
          <w:rtl w:val="0"/>
        </w:rPr>
        <w:t xml:space="preserve">Language of Literature (McDougal Littell), History Alive! The Medieval World and Beyond (Teachers’ Curriculum Institute - TCI)</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Curriculum Overview &amp; Standards Covered</w:t>
      </w:r>
    </w:p>
    <w:p w:rsidR="00000000" w:rsidDel="00000000" w:rsidP="00000000" w:rsidRDefault="00000000" w:rsidRPr="00000000" w14:paraId="00000044">
      <w:pPr>
        <w:rPr>
          <w:b w:val="1"/>
        </w:rPr>
      </w:pPr>
      <w:r w:rsidDel="00000000" w:rsidR="00000000" w:rsidRPr="00000000">
        <w:rPr>
          <w:b w:val="1"/>
          <w:rtl w:val="0"/>
        </w:rPr>
        <w:t xml:space="preserve">Reading and Writing are taught through a series of strategy and standard based mini-lessons, modeling, conferring and practice.  The Walnut Creek School District adopted reading and writing units created by the Teachers College Reading and Writing Project and published by Heinemann.</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Reading Standards Addressed by unit (go to or click on the link, click on “Open,” and then scroll down to the standards):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Tapping the Power of Non-Fiction - </w:t>
      </w:r>
      <w:hyperlink r:id="rId8">
        <w:r w:rsidDel="00000000" w:rsidR="00000000" w:rsidRPr="00000000">
          <w:rPr>
            <w:color w:val="1155cc"/>
            <w:u w:val="single"/>
            <w:rtl w:val="0"/>
          </w:rPr>
          <w:t xml:space="preserve">http://www.unitsofstudy.com/resourcecenter/id/462</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Investigating Characterization - </w:t>
      </w:r>
      <w:hyperlink r:id="rId9">
        <w:r w:rsidDel="00000000" w:rsidR="00000000" w:rsidRPr="00000000">
          <w:rPr>
            <w:color w:val="1155cc"/>
            <w:u w:val="single"/>
            <w:rtl w:val="0"/>
          </w:rPr>
          <w:t xml:space="preserve">http://www.unitsofstudy.com/resourcecenter/id/615</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rtl w:val="0"/>
        </w:rPr>
        <w:t xml:space="preserve">Writing Standards Addressed (all units included, after going to or clicking on the link, click on “Open,” scroll down to the “Contents” page and then go to the 7th grade standards for writing):</w:t>
      </w:r>
      <w:r w:rsidDel="00000000" w:rsidR="00000000" w:rsidRPr="00000000">
        <w:rPr>
          <w:rtl w:val="0"/>
        </w:rPr>
        <w:t xml:space="preserve">  </w:t>
      </w:r>
      <w:hyperlink r:id="rId10">
        <w:r w:rsidDel="00000000" w:rsidR="00000000" w:rsidRPr="00000000">
          <w:rPr>
            <w:color w:val="1155cc"/>
            <w:u w:val="single"/>
            <w:rtl w:val="0"/>
          </w:rPr>
          <w:t xml:space="preserve">http://www.unitsofstudy.com/resourcecenter/id/419</w:t>
        </w:r>
      </w:hyperlink>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Social Studies Units:</w:t>
      </w:r>
      <w:r w:rsidDel="00000000" w:rsidR="00000000" w:rsidRPr="00000000">
        <w:rPr>
          <w:rtl w:val="0"/>
        </w:rPr>
        <w:t xml:space="preserve">  Seventh grade social studies focuses on the Medieval World starting from 300 C.E. through the Enlightenment (18th century).  The curriculum in 7th grade will explore the legacy of civilizations from Europe, Africa, and the Middle East to Asia and the Americas.  After reviewing the ancient world and the ways in which archeologists and historians uncover the past, students study the history and geography of great civilizations that were developing concurrently throughout the world during medieval and modern times, examining the growing economic interaction among civilizations as well as the exchange of ideas, beliefs, technologies, and commodities. </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Social Studies Standards Addressed: Click on the following link and read/review pages 27-32 </w:t>
      </w:r>
      <w:hyperlink r:id="rId11">
        <w:r w:rsidDel="00000000" w:rsidR="00000000" w:rsidRPr="00000000">
          <w:rPr>
            <w:color w:val="1155cc"/>
            <w:u w:val="single"/>
            <w:rtl w:val="0"/>
          </w:rPr>
          <w:t xml:space="preserve">https://www.cde.ca.gov/be/st/ss/documents/histsocscistnd.pdf</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u w:val="single"/>
          <w:rtl w:val="0"/>
        </w:rPr>
        <w:t xml:space="preserve">Homework and Grading Policy:</w:t>
      </w:r>
      <w:r w:rsidDel="00000000" w:rsidR="00000000" w:rsidRPr="00000000">
        <w:rPr>
          <w:b w:val="1"/>
          <w:rtl w:val="0"/>
        </w:rPr>
        <w:t xml:space="preserve"> </w:t>
      </w:r>
      <w:r w:rsidDel="00000000" w:rsidR="00000000" w:rsidRPr="00000000">
        <w:rPr>
          <w:rtl w:val="0"/>
        </w:rPr>
        <w:t xml:space="preserve">All grading, written work, testing, and homework standards that are used in this class reflect the adopted Academic Standards for the Walnut Creek School District.  </w:t>
      </w:r>
      <w:r w:rsidDel="00000000" w:rsidR="00000000" w:rsidRPr="00000000">
        <w:rPr>
          <w:rtl w:val="0"/>
        </w:rPr>
      </w:r>
    </w:p>
    <w:p w:rsidR="00000000" w:rsidDel="00000000" w:rsidP="00000000" w:rsidRDefault="00000000" w:rsidRPr="00000000" w14:paraId="00000053">
      <w:pPr>
        <w:pBdr>
          <w:top w:color="auto" w:space="7" w:sz="0" w:val="none"/>
          <w:left w:color="auto" w:space="0" w:sz="0" w:val="none"/>
          <w:bottom w:color="auto" w:space="7" w:sz="0" w:val="none"/>
          <w:right w:color="auto" w:space="0" w:sz="0" w:val="none"/>
          <w:between w:color="auto" w:space="7" w:sz="0" w:val="none"/>
        </w:pBdr>
        <w:rPr>
          <w:b w:val="1"/>
          <w:color w:val="3d3c39"/>
        </w:rPr>
      </w:pPr>
      <w:r w:rsidDel="00000000" w:rsidR="00000000" w:rsidRPr="00000000">
        <w:rPr>
          <w:b w:val="1"/>
          <w:color w:val="3d3c39"/>
          <w:rtl w:val="0"/>
        </w:rPr>
        <w:t xml:space="preserve">Grades are distributed in class every two-three weeks. Corrected work is also returned to students on those same days. Students should develop the habit of checking posted grades against returned work, and meeting with me if they have any questions. Students and parents/guardians can request a printed or emailed copy of your child’s current grades.</w:t>
      </w:r>
    </w:p>
    <w:p w:rsidR="00000000" w:rsidDel="00000000" w:rsidP="00000000" w:rsidRDefault="00000000" w:rsidRPr="00000000" w14:paraId="00000054">
      <w:pPr>
        <w:pBdr>
          <w:top w:color="auto" w:space="7" w:sz="0" w:val="none"/>
          <w:left w:color="auto" w:space="0" w:sz="0" w:val="none"/>
          <w:bottom w:color="auto" w:space="7" w:sz="0" w:val="none"/>
          <w:right w:color="auto" w:space="0" w:sz="0" w:val="none"/>
          <w:between w:color="auto" w:space="7" w:sz="0" w:val="none"/>
        </w:pBdr>
        <w:rPr>
          <w:b w:val="1"/>
          <w:color w:val="3d3c39"/>
        </w:rPr>
      </w:pPr>
      <w:r w:rsidDel="00000000" w:rsidR="00000000" w:rsidRPr="00000000">
        <w:rPr>
          <w:b w:val="1"/>
          <w:color w:val="3d3c39"/>
          <w:rtl w:val="0"/>
        </w:rPr>
        <w:t xml:space="preserve">If you are viewing grades through the school portal, be aware that absent and late work may appear missing until the assignment is turned in.</w:t>
      </w:r>
    </w:p>
    <w:p w:rsidR="00000000" w:rsidDel="00000000" w:rsidP="00000000" w:rsidRDefault="00000000" w:rsidRPr="00000000" w14:paraId="00000055">
      <w:pPr>
        <w:rPr>
          <w:b w:val="1"/>
          <w:color w:val="3d3c39"/>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b w:val="1"/>
          <w:color w:val="1155cc"/>
          <w:sz w:val="28"/>
          <w:szCs w:val="28"/>
        </w:rPr>
      </w:pPr>
      <w:r w:rsidDel="00000000" w:rsidR="00000000" w:rsidRPr="00000000">
        <w:rPr>
          <w:rFonts w:ascii="Comic Sans MS" w:cs="Comic Sans MS" w:eastAsia="Comic Sans MS" w:hAnsi="Comic Sans MS"/>
          <w:b w:val="1"/>
          <w:color w:val="1155cc"/>
          <w:sz w:val="28"/>
          <w:szCs w:val="28"/>
          <w:rtl w:val="0"/>
        </w:rPr>
        <w:t xml:space="preserve">Student Expectations:</w:t>
        <w:tab/>
        <w:tab/>
        <w:tab/>
        <w:tab/>
        <w:t xml:space="preserve">Teacher Expectations:</w:t>
      </w:r>
    </w:p>
    <w:p w:rsidR="00000000" w:rsidDel="00000000" w:rsidP="00000000" w:rsidRDefault="00000000" w:rsidRPr="00000000" w14:paraId="00000057">
      <w:pPr>
        <w:rPr>
          <w:rFonts w:ascii="Comic Sans MS" w:cs="Comic Sans MS" w:eastAsia="Comic Sans MS" w:hAnsi="Comic Sans MS"/>
          <w:b w:val="1"/>
          <w:color w:val="1155cc"/>
          <w:sz w:val="24"/>
          <w:szCs w:val="24"/>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b w:val="1"/>
          <w:color w:val="1155cc"/>
          <w:sz w:val="24"/>
          <w:szCs w:val="24"/>
        </w:rPr>
      </w:pPr>
      <w:r w:rsidDel="00000000" w:rsidR="00000000" w:rsidRPr="00000000">
        <w:rPr>
          <w:rFonts w:ascii="Comic Sans MS" w:cs="Comic Sans MS" w:eastAsia="Comic Sans MS" w:hAnsi="Comic Sans MS"/>
          <w:b w:val="1"/>
          <w:color w:val="1155cc"/>
          <w:sz w:val="24"/>
          <w:szCs w:val="24"/>
          <w:rtl w:val="0"/>
        </w:rPr>
        <w:t xml:space="preserve">Be Intentionally…</w:t>
        <w:tab/>
        <w:tab/>
        <w:tab/>
        <w:tab/>
        <w:tab/>
        <w:tab/>
        <w:t xml:space="preserve">Be Intentionally...</w:t>
      </w:r>
    </w:p>
    <w:p w:rsidR="00000000" w:rsidDel="00000000" w:rsidP="00000000" w:rsidRDefault="00000000" w:rsidRPr="00000000" w14:paraId="00000059">
      <w:pPr>
        <w:rPr>
          <w:rFonts w:ascii="Comic Sans MS" w:cs="Comic Sans MS" w:eastAsia="Comic Sans MS" w:hAnsi="Comic Sans MS"/>
          <w:b w:val="1"/>
          <w:color w:val="1155cc"/>
          <w:sz w:val="24"/>
          <w:szCs w:val="24"/>
        </w:rPr>
      </w:pPr>
      <w:r w:rsidDel="00000000" w:rsidR="00000000" w:rsidRPr="00000000">
        <w:rPr>
          <w:rFonts w:ascii="Comic Sans MS" w:cs="Comic Sans MS" w:eastAsia="Comic Sans MS" w:hAnsi="Comic Sans MS"/>
          <w:b w:val="1"/>
          <w:color w:val="1155cc"/>
          <w:sz w:val="24"/>
          <w:szCs w:val="24"/>
          <w:rtl w:val="0"/>
        </w:rPr>
        <w:t xml:space="preserve">Respectful</w:t>
        <w:tab/>
        <w:tab/>
        <w:tab/>
        <w:tab/>
        <w:tab/>
        <w:tab/>
        <w:tab/>
        <w:t xml:space="preserve">Respectful</w:t>
      </w:r>
    </w:p>
    <w:p w:rsidR="00000000" w:rsidDel="00000000" w:rsidP="00000000" w:rsidRDefault="00000000" w:rsidRPr="00000000" w14:paraId="0000005A">
      <w:pPr>
        <w:rPr>
          <w:rFonts w:ascii="Comic Sans MS" w:cs="Comic Sans MS" w:eastAsia="Comic Sans MS" w:hAnsi="Comic Sans MS"/>
          <w:b w:val="1"/>
          <w:color w:val="1155cc"/>
          <w:sz w:val="24"/>
          <w:szCs w:val="24"/>
        </w:rPr>
      </w:pPr>
      <w:r w:rsidDel="00000000" w:rsidR="00000000" w:rsidRPr="00000000">
        <w:rPr>
          <w:rFonts w:ascii="Comic Sans MS" w:cs="Comic Sans MS" w:eastAsia="Comic Sans MS" w:hAnsi="Comic Sans MS"/>
          <w:b w:val="1"/>
          <w:color w:val="1155cc"/>
          <w:sz w:val="24"/>
          <w:szCs w:val="24"/>
          <w:rtl w:val="0"/>
        </w:rPr>
        <w:t xml:space="preserve">Responsible</w:t>
        <w:tab/>
        <w:tab/>
        <w:tab/>
        <w:tab/>
        <w:tab/>
        <w:tab/>
        <w:tab/>
        <w:t xml:space="preserve">Responsible</w:t>
      </w:r>
    </w:p>
    <w:p w:rsidR="00000000" w:rsidDel="00000000" w:rsidP="00000000" w:rsidRDefault="00000000" w:rsidRPr="00000000" w14:paraId="0000005B">
      <w:pPr>
        <w:rPr>
          <w:rFonts w:ascii="Comic Sans MS" w:cs="Comic Sans MS" w:eastAsia="Comic Sans MS" w:hAnsi="Comic Sans MS"/>
          <w:b w:val="1"/>
          <w:color w:val="1155cc"/>
          <w:sz w:val="24"/>
          <w:szCs w:val="24"/>
        </w:rPr>
      </w:pPr>
      <w:r w:rsidDel="00000000" w:rsidR="00000000" w:rsidRPr="00000000">
        <w:rPr>
          <w:rFonts w:ascii="Comic Sans MS" w:cs="Comic Sans MS" w:eastAsia="Comic Sans MS" w:hAnsi="Comic Sans MS"/>
          <w:b w:val="1"/>
          <w:color w:val="1155cc"/>
          <w:sz w:val="24"/>
          <w:szCs w:val="24"/>
          <w:rtl w:val="0"/>
        </w:rPr>
        <w:t xml:space="preserve">Kind</w:t>
        <w:tab/>
        <w:tab/>
        <w:tab/>
        <w:tab/>
        <w:tab/>
        <w:tab/>
        <w:tab/>
        <w:tab/>
        <w:t xml:space="preserve">Kind</w:t>
      </w:r>
    </w:p>
    <w:p w:rsidR="00000000" w:rsidDel="00000000" w:rsidP="00000000" w:rsidRDefault="00000000" w:rsidRPr="00000000" w14:paraId="0000005C">
      <w:pPr>
        <w:rPr>
          <w:rFonts w:ascii="Comic Sans MS" w:cs="Comic Sans MS" w:eastAsia="Comic Sans MS" w:hAnsi="Comic Sans MS"/>
          <w:b w:val="1"/>
          <w:color w:val="1155cc"/>
          <w:sz w:val="24"/>
          <w:szCs w:val="24"/>
        </w:rPr>
      </w:pPr>
      <w:r w:rsidDel="00000000" w:rsidR="00000000" w:rsidRPr="00000000">
        <w:rPr>
          <w:rFonts w:ascii="Comic Sans MS" w:cs="Comic Sans MS" w:eastAsia="Comic Sans MS" w:hAnsi="Comic Sans MS"/>
          <w:b w:val="1"/>
          <w:color w:val="1155cc"/>
          <w:sz w:val="24"/>
          <w:szCs w:val="24"/>
          <w:rtl w:val="0"/>
        </w:rPr>
        <w:t xml:space="preserve">Safe</w:t>
        <w:tab/>
        <w:tab/>
        <w:tab/>
        <w:tab/>
        <w:tab/>
        <w:tab/>
        <w:tab/>
        <w:tab/>
        <w:t xml:space="preserve">Safe</w:t>
      </w:r>
    </w:p>
    <w:p w:rsidR="00000000" w:rsidDel="00000000" w:rsidP="00000000" w:rsidRDefault="00000000" w:rsidRPr="00000000" w14:paraId="0000005D">
      <w:pPr>
        <w:rPr/>
      </w:pPr>
      <w:r w:rsidDel="00000000" w:rsidR="00000000" w:rsidRPr="00000000">
        <w:rPr>
          <w:rFonts w:ascii="Comic Sans MS" w:cs="Comic Sans MS" w:eastAsia="Comic Sans MS" w:hAnsi="Comic Sans MS"/>
          <w:b w:val="1"/>
          <w:color w:val="1155cc"/>
          <w:sz w:val="24"/>
          <w:szCs w:val="24"/>
          <w:rtl w:val="0"/>
        </w:rPr>
        <w:t xml:space="preserve">Ready to Learn</w:t>
        <w:tab/>
        <w:tab/>
        <w:tab/>
        <w:tab/>
        <w:tab/>
        <w:tab/>
        <w:t xml:space="preserve">Ready to Teach</w:t>
      </w:r>
      <w:r w:rsidDel="00000000" w:rsidR="00000000" w:rsidRPr="00000000">
        <w:rPr>
          <w:rtl w:val="0"/>
        </w:rPr>
      </w:r>
    </w:p>
    <w:sectPr>
      <w:pgSz w:h="15840" w:w="12240"/>
      <w:pgMar w:bottom="431.99999999999994" w:top="431.9999999999999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e.ca.gov/be/st/ss/documents/histsocscistnd.pdf" TargetMode="External"/><Relationship Id="rId10" Type="http://schemas.openxmlformats.org/officeDocument/2006/relationships/hyperlink" Target="http://www.unitsofstudy.com/resourcecenter/id/419" TargetMode="External"/><Relationship Id="rId9" Type="http://schemas.openxmlformats.org/officeDocument/2006/relationships/hyperlink" Target="http://www.unitsofstudy.com/resourcecenter/id/61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palmquist@walnutcreeksd.org" TargetMode="External"/><Relationship Id="rId8" Type="http://schemas.openxmlformats.org/officeDocument/2006/relationships/hyperlink" Target="http://www.unitsofstudy.com/resourcecenter/id/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